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YUCATÁN 2x1</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 EN TEMPORADA BAJA (ORDEN DEL ITINERARIO SUJETO A CAMBIOS)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MÉRIDA / MÉRIDA</w:t>
      </w: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Manuel Crescencio Rejón y traslado al hotel.</w:t>
      </w:r>
    </w:p>
    <w:p w:rsidR="00000000" w:rsidDel="00000000" w:rsidP="00000000" w:rsidRDefault="00000000" w:rsidRPr="00000000" w14:paraId="00000008">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CITY TOUR / MÉRIDA</w:t>
      </w: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punto de encuentro para iniciar el city tour por la “ciudad blanca”, recorriendo el elegante Paseo Montejo, la antigua Catedral, y el Museo Regional de Antropología.</w:t>
      </w:r>
    </w:p>
    <w:p w:rsidR="00000000" w:rsidDel="00000000" w:rsidP="00000000" w:rsidRDefault="00000000" w:rsidRPr="00000000" w14:paraId="0000000D">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w:t>
      </w:r>
    </w:p>
    <w:p w:rsidR="00000000" w:rsidDel="00000000" w:rsidP="00000000" w:rsidRDefault="00000000" w:rsidRPr="00000000" w14:paraId="0000000E">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0F">
      <w:pPr>
        <w:spacing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CHICHEN ITZÁ/ XCAJUM / IZAMAL / MÉRIDA</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 entre los años 900 y 1300. Visitaremos el templo de Kukulcán, el templo de los guerreros, el juego de pelota, el observatorio astronómico y el complejo de las monjas.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CENOTES DE SANTA BÁRBARA / MÉRIDA</w:t>
      </w: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hacia Santa Rosa para explorar los cenotes de la zona. Nadarás en aguas cristalinas rodeadas de naturaleza en un ambiente único.</w:t>
      </w:r>
    </w:p>
    <w:p w:rsidR="00000000" w:rsidDel="00000000" w:rsidP="00000000" w:rsidRDefault="00000000" w:rsidRPr="00000000" w14:paraId="0000001A">
      <w:pPr>
        <w:spacing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Luego visitaremos el complejo turístico Cenote de Santa Rosa, conocido por su belleza natural. </w:t>
      </w:r>
      <w:r w:rsidDel="00000000" w:rsidR="00000000" w:rsidRPr="00000000">
        <w:rPr>
          <w:rFonts w:ascii="Century Gothic" w:cs="Century Gothic" w:eastAsia="Century Gothic" w:hAnsi="Century Gothic"/>
          <w:b w:val="1"/>
          <w:i w:val="1"/>
          <w:color w:val="878787"/>
          <w:sz w:val="20"/>
          <w:szCs w:val="20"/>
          <w:rtl w:val="0"/>
        </w:rPr>
        <w:t xml:space="preserve">(</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B">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w:t>
      </w:r>
    </w:p>
    <w:p w:rsidR="00000000" w:rsidDel="00000000" w:rsidP="00000000" w:rsidRDefault="00000000" w:rsidRPr="00000000" w14:paraId="0000001C">
      <w:pPr>
        <w:spacing w:line="240" w:lineRule="auto"/>
        <w:jc w:val="both"/>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AEROPUERTO DE MÉRIDA</w:t>
      </w: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mañana, realizaremos el traslado al aeropuerto con tiempo suficiente para tu vuelo.</w:t>
      </w:r>
    </w:p>
    <w:p w:rsidR="00000000" w:rsidDel="00000000" w:rsidP="00000000" w:rsidRDefault="00000000" w:rsidRPr="00000000" w14:paraId="00000020">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1">
      <w:pPr>
        <w:spacing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3 estrellas.</w:t>
      </w: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2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Entradas en Izamal.</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comidas y cenas.</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6210.0" w:type="dxa"/>
        <w:jc w:val="left"/>
        <w:tblLayout w:type="fixed"/>
        <w:tblLook w:val="0400"/>
      </w:tblPr>
      <w:tblGrid>
        <w:gridCol w:w="1110"/>
        <w:gridCol w:w="2550"/>
        <w:gridCol w:w="2550"/>
        <w:tblGridChange w:id="0">
          <w:tblGrid>
            <w:gridCol w:w="1110"/>
            <w:gridCol w:w="2550"/>
            <w:gridCol w:w="2550"/>
          </w:tblGrid>
        </w:tblGridChange>
      </w:tblGrid>
      <w:tr>
        <w:trPr>
          <w:cantSplit w:val="0"/>
          <w:trHeight w:val="315" w:hRule="atLeast"/>
          <w:tblHeader w:val="0"/>
        </w:trPr>
        <w:tc>
          <w:tcPr>
            <w:gridSpan w:val="3"/>
            <w:tcBorders>
              <w:top w:color="ffffff" w:space="0" w:sz="6" w:val="single"/>
              <w:left w:color="ffffff" w:space="0" w:sz="6" w:val="single"/>
              <w:bottom w:color="ffffff" w:space="0" w:sz="6" w:val="single"/>
              <w:right w:color="ffffff" w:space="0" w:sz="6" w:val="single"/>
            </w:tcBorders>
            <w:shd w:fill="a5d09e" w:val="clear"/>
            <w:tcMar>
              <w:top w:w="0.0" w:type="dxa"/>
              <w:left w:w="40.0" w:type="dxa"/>
              <w:bottom w:w="0.0" w:type="dxa"/>
              <w:right w:w="40.0" w:type="dxa"/>
            </w:tcMar>
            <w:vAlign w:val="bottom"/>
          </w:tcPr>
          <w:p w:rsidR="00000000" w:rsidDel="00000000" w:rsidP="00000000" w:rsidRDefault="00000000" w:rsidRPr="00000000" w14:paraId="0000003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TEMPORADA BAJA </w:t>
            </w:r>
            <w:r w:rsidDel="00000000" w:rsidR="00000000" w:rsidRPr="00000000">
              <w:rPr>
                <w:rtl w:val="0"/>
              </w:rPr>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gridSpan w:val="2"/>
            <w:tcBorders>
              <w:top w:color="ffffff" w:space="0" w:sz="6" w:val="single"/>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$16,848</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9">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para 2 personas</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$23,546</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3C">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para 3 personas</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E">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$6,424</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F">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por cada menor</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habitación de acuerdo a la base seleccionada. (Mínimo 2 pasajeros por agencia).</w:t>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w:t>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bookmarkStart w:colFirst="0" w:colLast="0" w:name="kix.xi96zi7o8pln" w:id="0"/>
    <w:bookmarkEnd w:id="0"/>
    <w:p w:rsidR="00000000" w:rsidDel="00000000" w:rsidP="00000000" w:rsidRDefault="00000000" w:rsidRPr="00000000" w14:paraId="0000005E">
      <w:pPr>
        <w:spacing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r w:rsidDel="00000000" w:rsidR="00000000" w:rsidRPr="00000000">
        <w:rPr>
          <w:rtl w:val="0"/>
        </w:rPr>
      </w:r>
    </w:p>
    <w:p w:rsidR="00000000" w:rsidDel="00000000" w:rsidP="00000000" w:rsidRDefault="00000000" w:rsidRPr="00000000" w14:paraId="0000005F">
      <w:pPr>
        <w:numPr>
          <w:ilvl w:val="0"/>
          <w:numId w:val="3"/>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0">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61">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2">
      <w:pPr>
        <w:numPr>
          <w:ilvl w:val="0"/>
          <w:numId w:val="4"/>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08 de diciembre de 2025. </w:t>
      </w:r>
      <w:r w:rsidDel="00000000" w:rsidR="00000000" w:rsidRPr="00000000">
        <w:rPr>
          <w:rtl w:val="0"/>
        </w:rPr>
      </w:r>
    </w:p>
    <w:p w:rsidR="00000000" w:rsidDel="00000000" w:rsidP="00000000" w:rsidRDefault="00000000" w:rsidRPr="00000000" w14:paraId="00000063">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4">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b w:val="1"/>
          <w:color w:val="808080"/>
          <w:rtl w:val="0"/>
        </w:rPr>
        <w:t xml:space="preserve">En estas fechas de temporada alta NO aplica este paquete:</w:t>
      </w:r>
    </w:p>
    <w:p w:rsidR="00000000" w:rsidDel="00000000" w:rsidP="00000000" w:rsidRDefault="00000000" w:rsidRPr="00000000" w14:paraId="00000065">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6">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7">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8">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r w:rsidDel="00000000" w:rsidR="00000000" w:rsidRPr="00000000">
        <w:rPr>
          <w:rtl w:val="0"/>
        </w:rPr>
      </w:r>
    </w:p>
    <w:p w:rsidR="00000000" w:rsidDel="00000000" w:rsidP="00000000" w:rsidRDefault="00000000" w:rsidRPr="00000000" w14:paraId="00000069">
      <w:pPr>
        <w:spacing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6A">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B">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C">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6D">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6E">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6F">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70">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p>
    <w:p w:rsidR="00000000" w:rsidDel="00000000" w:rsidP="00000000" w:rsidRDefault="00000000" w:rsidRPr="00000000" w14:paraId="00000071">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2">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3">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4">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5">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6">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7">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8">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79">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A">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shd w:fill="ffffff" w:val="clea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C">
      <w:pPr>
        <w:shd w:fill="ffffff" w:val="clea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D">
      <w:pPr>
        <w:shd w:fill="ffffff" w:val="clea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E">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7F">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0">
      <w:pPr>
        <w:spacing w:line="240" w:lineRule="auto"/>
        <w:jc w:val="center"/>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